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2118" w14:textId="77777777" w:rsidR="003E66CE" w:rsidRDefault="00110A5E">
      <w:pPr>
        <w:pStyle w:val="Nagwek1"/>
        <w:tabs>
          <w:tab w:val="left" w:leader="dot" w:pos="4536"/>
        </w:tabs>
        <w:spacing w:after="240" w:line="360" w:lineRule="auto"/>
        <w:rPr>
          <w:b w:val="0"/>
        </w:rPr>
      </w:pPr>
      <w:r>
        <w:t>Umowa nr</w:t>
      </w:r>
      <w:r>
        <w:rPr>
          <w:b w:val="0"/>
          <w:bCs/>
        </w:rPr>
        <w:tab/>
      </w:r>
    </w:p>
    <w:p w14:paraId="01B69241" w14:textId="77777777" w:rsidR="003E66CE" w:rsidRDefault="00110A5E">
      <w:pPr>
        <w:spacing w:before="120" w:after="120" w:line="360" w:lineRule="auto"/>
        <w:rPr>
          <w:rFonts w:cs="Arial"/>
          <w:szCs w:val="24"/>
        </w:rPr>
      </w:pPr>
      <w:r>
        <w:rPr>
          <w:rFonts w:cs="Arial"/>
          <w:szCs w:val="24"/>
        </w:rPr>
        <w:t>o finansowanie koszt</w:t>
      </w:r>
      <w:r>
        <w:rPr>
          <w:rFonts w:cs="Arial"/>
          <w:szCs w:val="24"/>
          <w:lang w:eastAsia="pl-PL" w:bidi="pl-PL"/>
        </w:rPr>
        <w:t>u</w:t>
      </w:r>
      <w:r>
        <w:rPr>
          <w:rFonts w:cs="Arial"/>
          <w:szCs w:val="24"/>
        </w:rPr>
        <w:t xml:space="preserve"> przejazdu</w:t>
      </w:r>
    </w:p>
    <w:p w14:paraId="541576BE" w14:textId="77777777" w:rsidR="003E66CE" w:rsidRDefault="00110A5E">
      <w:pPr>
        <w:tabs>
          <w:tab w:val="left" w:leader="dot" w:pos="4536"/>
          <w:tab w:val="center" w:leader="dot" w:pos="7938"/>
        </w:tabs>
        <w:spacing w:before="120" w:after="120" w:line="360" w:lineRule="auto"/>
        <w:rPr>
          <w:rFonts w:cs="Arial"/>
          <w:szCs w:val="24"/>
          <w:lang w:eastAsia="zh-CN"/>
        </w:rPr>
      </w:pPr>
      <w:r>
        <w:rPr>
          <w:rFonts w:cs="Arial"/>
          <w:szCs w:val="24"/>
          <w:lang w:eastAsia="zh-CN"/>
        </w:rPr>
        <w:t xml:space="preserve">zawarta </w:t>
      </w:r>
      <w:r>
        <w:rPr>
          <w:rFonts w:cs="Arial"/>
          <w:szCs w:val="24"/>
          <w:lang w:eastAsia="zh-CN"/>
        </w:rPr>
        <w:tab/>
        <w:t>roku,</w:t>
      </w:r>
    </w:p>
    <w:p w14:paraId="56793A88" w14:textId="77777777" w:rsidR="003E66CE" w:rsidRDefault="00110A5E">
      <w:pPr>
        <w:tabs>
          <w:tab w:val="left" w:leader="dot" w:pos="3969"/>
          <w:tab w:val="center" w:leader="dot" w:pos="7938"/>
        </w:tabs>
        <w:spacing w:before="240" w:after="240" w:line="360" w:lineRule="auto"/>
        <w:rPr>
          <w:rFonts w:cs="Arial"/>
          <w:szCs w:val="24"/>
          <w:lang w:eastAsia="zh-CN"/>
        </w:rPr>
      </w:pPr>
      <w:r>
        <w:rPr>
          <w:rFonts w:cs="Arial"/>
          <w:szCs w:val="24"/>
          <w:lang w:eastAsia="zh-CN"/>
        </w:rPr>
        <w:t>pomiędzy:</w:t>
      </w:r>
    </w:p>
    <w:p w14:paraId="03C74648" w14:textId="77777777" w:rsidR="003E66CE" w:rsidRDefault="00110A5E">
      <w:pPr>
        <w:pStyle w:val="Akapitzlist"/>
        <w:numPr>
          <w:ilvl w:val="0"/>
          <w:numId w:val="1"/>
        </w:numPr>
        <w:tabs>
          <w:tab w:val="clear" w:pos="0"/>
          <w:tab w:val="left" w:leader="dot" w:pos="6521"/>
          <w:tab w:val="left" w:leader="dot" w:pos="9072"/>
        </w:tabs>
        <w:suppressAutoHyphens/>
        <w:spacing w:before="240" w:after="0"/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Powiatem Sztumskim/Powiatowym Urzędem Pracy w Sztumie z/s w Dzierzgoniu, ul. Tadeusza Zawadzkiego „Zośki” 11, 82-440 Dzierzgoń, NIP 579-19-57-032, REGON 192631154, reprezentowanym przez działającą z upoważnienia Starosty Powiatu Sztumskiego – Panią </w:t>
      </w:r>
      <w:r>
        <w:rPr>
          <w:rFonts w:cs="Arial"/>
          <w:szCs w:val="24"/>
        </w:rPr>
        <w:tab/>
        <w:t xml:space="preserve"> – </w:t>
      </w:r>
      <w:r>
        <w:rPr>
          <w:rFonts w:cs="Arial"/>
          <w:szCs w:val="24"/>
        </w:rPr>
        <w:tab/>
        <w:t xml:space="preserve"> Powiatowego Urzędu Pracy w Sztumie z/s w Dzierzgoniu - zwanym dalej „Urzędem”,</w:t>
      </w:r>
    </w:p>
    <w:p w14:paraId="0EDFE797" w14:textId="77777777" w:rsidR="003E66CE" w:rsidRDefault="00110A5E">
      <w:pPr>
        <w:tabs>
          <w:tab w:val="left" w:pos="284"/>
          <w:tab w:val="left" w:leader="dot" w:pos="6521"/>
          <w:tab w:val="left" w:leader="dot" w:pos="8931"/>
        </w:tabs>
        <w:suppressAutoHyphens/>
        <w:spacing w:before="240"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</w:p>
    <w:p w14:paraId="3EC43E82" w14:textId="77777777" w:rsidR="003E66CE" w:rsidRDefault="00110A5E">
      <w:pPr>
        <w:pStyle w:val="Akapitzlist"/>
        <w:numPr>
          <w:ilvl w:val="0"/>
          <w:numId w:val="1"/>
        </w:numPr>
        <w:tabs>
          <w:tab w:val="clear" w:pos="0"/>
          <w:tab w:val="left" w:leader="dot" w:pos="4536"/>
          <w:tab w:val="left" w:leader="do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Panem/Panią </w:t>
      </w:r>
      <w:bookmarkStart w:id="0" w:name="_Hlk204258870"/>
      <w:bookmarkStart w:id="1" w:name="_Hlk204261103"/>
      <w:r>
        <w:rPr>
          <w:rFonts w:cs="Arial"/>
          <w:szCs w:val="24"/>
        </w:rPr>
        <w:tab/>
      </w:r>
      <w:bookmarkEnd w:id="0"/>
      <w:r>
        <w:rPr>
          <w:rFonts w:cs="Arial"/>
          <w:szCs w:val="24"/>
        </w:rPr>
        <w:t xml:space="preserve"> </w:t>
      </w:r>
      <w:bookmarkEnd w:id="1"/>
      <w:r>
        <w:rPr>
          <w:rFonts w:cs="Arial"/>
          <w:szCs w:val="24"/>
        </w:rPr>
        <w:t xml:space="preserve">zamieszkałym/ą </w:t>
      </w:r>
      <w:r>
        <w:rPr>
          <w:rFonts w:cs="Arial"/>
          <w:szCs w:val="24"/>
        </w:rPr>
        <w:br/>
        <w:t xml:space="preserve">pod adresem </w:t>
      </w:r>
      <w:r>
        <w:rPr>
          <w:rFonts w:cs="Arial"/>
          <w:szCs w:val="24"/>
        </w:rPr>
        <w:tab/>
        <w:t xml:space="preserve">PESEL </w:t>
      </w:r>
      <w:r>
        <w:rPr>
          <w:rFonts w:cs="Arial"/>
          <w:szCs w:val="24"/>
        </w:rPr>
        <w:tab/>
      </w:r>
    </w:p>
    <w:p w14:paraId="099ED2FA" w14:textId="77777777" w:rsidR="003E66CE" w:rsidRDefault="00110A5E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zwanym/ą dalej „Wnioskodawcą”,</w:t>
      </w:r>
    </w:p>
    <w:p w14:paraId="2D107AD1" w14:textId="77777777" w:rsidR="003E66CE" w:rsidRDefault="00110A5E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zwanych dalej „Stronami”</w:t>
      </w:r>
    </w:p>
    <w:p w14:paraId="6C446E07" w14:textId="77777777" w:rsidR="003E66CE" w:rsidRDefault="00110A5E">
      <w:pPr>
        <w:pStyle w:val="Nagwek2"/>
        <w:jc w:val="center"/>
      </w:pPr>
      <w:r>
        <w:t>Przedmiot umowy</w:t>
      </w:r>
    </w:p>
    <w:p w14:paraId="183DF509" w14:textId="77777777" w:rsidR="003E66CE" w:rsidRDefault="00110A5E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§ 1.</w:t>
      </w:r>
    </w:p>
    <w:p w14:paraId="1BEE22BA" w14:textId="77777777" w:rsidR="003E66CE" w:rsidRDefault="00110A5E">
      <w:pPr>
        <w:pStyle w:val="Akapitzlist"/>
        <w:numPr>
          <w:ilvl w:val="3"/>
          <w:numId w:val="21"/>
        </w:numPr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Przedmiotem umowy jest finansowanie kosztu przejazdu z miejsca zamieszkania</w:t>
      </w:r>
      <w:r>
        <w:rPr>
          <w:rFonts w:cs="Arial"/>
          <w:szCs w:val="24"/>
          <w:lang w:eastAsia="pl-PL" w:bidi="pl-PL"/>
        </w:rPr>
        <w:t xml:space="preserve"> </w:t>
      </w:r>
      <w:r>
        <w:rPr>
          <w:rFonts w:cs="Arial"/>
          <w:szCs w:val="24"/>
        </w:rPr>
        <w:t>do miejsca zatrudnienia i z powrotem, wykonywania innej pracy zarobkowej lub udziału w formie pomocy</w:t>
      </w:r>
      <w:r>
        <w:rPr>
          <w:rFonts w:cs="Arial"/>
          <w:szCs w:val="24"/>
          <w:lang w:eastAsia="pl-PL" w:bidi="pl-PL"/>
        </w:rPr>
        <w:t>,</w:t>
      </w:r>
      <w:r>
        <w:rPr>
          <w:rFonts w:cs="Arial"/>
          <w:szCs w:val="24"/>
        </w:rPr>
        <w:t xml:space="preserve"> przez okres do 12 miesięcy</w:t>
      </w:r>
      <w:r>
        <w:rPr>
          <w:rFonts w:cs="Arial"/>
          <w:szCs w:val="24"/>
          <w:lang w:eastAsia="pl-PL" w:bidi="pl-PL"/>
        </w:rPr>
        <w:t>.</w:t>
      </w:r>
    </w:p>
    <w:p w14:paraId="19B705DA" w14:textId="77777777" w:rsidR="003E66CE" w:rsidRDefault="00110A5E">
      <w:pPr>
        <w:pStyle w:val="Akapitzlist"/>
        <w:numPr>
          <w:ilvl w:val="3"/>
          <w:numId w:val="21"/>
        </w:numPr>
        <w:tabs>
          <w:tab w:val="left" w:leader="dot" w:pos="9072"/>
          <w:tab w:val="right" w:leader="dot" w:pos="1134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Umowa realizowana jest ze środków </w:t>
      </w:r>
      <w:r>
        <w:rPr>
          <w:rFonts w:cs="Arial"/>
          <w:szCs w:val="24"/>
        </w:rPr>
        <w:tab/>
      </w:r>
    </w:p>
    <w:p w14:paraId="1D682C3A" w14:textId="77777777" w:rsidR="003E66CE" w:rsidRDefault="00110A5E">
      <w:pPr>
        <w:pStyle w:val="Akapitzlist"/>
        <w:numPr>
          <w:ilvl w:val="3"/>
          <w:numId w:val="21"/>
        </w:numPr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Refundacja koszt</w:t>
      </w:r>
      <w:r>
        <w:rPr>
          <w:rFonts w:cs="Arial"/>
          <w:szCs w:val="24"/>
          <w:lang w:eastAsia="pl-PL" w:bidi="pl-PL"/>
        </w:rPr>
        <w:t>u przejazdu</w:t>
      </w:r>
      <w:r>
        <w:rPr>
          <w:rFonts w:cs="Arial"/>
          <w:szCs w:val="24"/>
        </w:rPr>
        <w:t xml:space="preserve"> przysługuje Wnioskodawcy, który</w:t>
      </w:r>
      <w:r>
        <w:rPr>
          <w:rFonts w:cs="Arial"/>
          <w:szCs w:val="24"/>
          <w:lang w:eastAsia="pl-PL" w:bidi="pl-PL"/>
        </w:rPr>
        <w:t xml:space="preserve"> spełnia łącznie następujące warunki</w:t>
      </w:r>
      <w:r>
        <w:rPr>
          <w:rFonts w:cs="Arial"/>
          <w:szCs w:val="24"/>
        </w:rPr>
        <w:t>:</w:t>
      </w:r>
    </w:p>
    <w:p w14:paraId="4075711B" w14:textId="77777777" w:rsidR="003E66CE" w:rsidRDefault="00110A5E" w:rsidP="00110A5E">
      <w:pPr>
        <w:pStyle w:val="Akapitzlist"/>
        <w:numPr>
          <w:ilvl w:val="0"/>
          <w:numId w:val="16"/>
        </w:numPr>
        <w:ind w:left="993" w:hanging="426"/>
        <w:contextualSpacing w:val="0"/>
      </w:pPr>
      <w:r>
        <w:rPr>
          <w:rFonts w:cs="Arial"/>
          <w:szCs w:val="24"/>
        </w:rPr>
        <w:t xml:space="preserve">podjął zatrudnienie lub inną pracę zarobkową </w:t>
      </w:r>
      <w:r>
        <w:rPr>
          <w:rFonts w:cs="Arial"/>
          <w:szCs w:val="24"/>
          <w:lang w:eastAsia="pl-PL" w:bidi="pl-PL"/>
        </w:rPr>
        <w:t>lub</w:t>
      </w:r>
      <w:r>
        <w:rPr>
          <w:rFonts w:cs="Arial"/>
          <w:szCs w:val="24"/>
        </w:rPr>
        <w:t xml:space="preserve"> udział w formie pomocy na podstawie:</w:t>
      </w:r>
    </w:p>
    <w:p w14:paraId="7480EFF3" w14:textId="77777777" w:rsidR="003E66CE" w:rsidRDefault="00110A5E" w:rsidP="00110A5E">
      <w:pPr>
        <w:pStyle w:val="Akapitzlist"/>
        <w:numPr>
          <w:ilvl w:val="0"/>
          <w:numId w:val="17"/>
        </w:numPr>
        <w:ind w:left="1560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skierowania lub informacji z</w:t>
      </w:r>
      <w:r>
        <w:rPr>
          <w:rFonts w:cs="Arial"/>
          <w:szCs w:val="24"/>
          <w:lang w:eastAsia="pl-PL" w:bidi="pl-PL"/>
        </w:rPr>
        <w:t xml:space="preserve"> </w:t>
      </w:r>
      <w:r>
        <w:rPr>
          <w:rFonts w:cs="Arial"/>
          <w:szCs w:val="24"/>
        </w:rPr>
        <w:t>Urzędu,</w:t>
      </w:r>
    </w:p>
    <w:p w14:paraId="118220A3" w14:textId="77777777" w:rsidR="003E66CE" w:rsidRDefault="00110A5E" w:rsidP="00110A5E">
      <w:pPr>
        <w:pStyle w:val="Akapitzlist"/>
        <w:numPr>
          <w:ilvl w:val="0"/>
          <w:numId w:val="17"/>
        </w:numPr>
        <w:ind w:left="1560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umowy ze starostą,</w:t>
      </w:r>
    </w:p>
    <w:p w14:paraId="482ABB4C" w14:textId="77777777" w:rsidR="003E66CE" w:rsidRDefault="00110A5E" w:rsidP="00110A5E">
      <w:pPr>
        <w:pStyle w:val="Akapitzlist"/>
        <w:numPr>
          <w:ilvl w:val="0"/>
          <w:numId w:val="17"/>
        </w:numPr>
        <w:ind w:left="1560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skierowania agencji zatrudnienia w przypadku określonym w art. 197 </w:t>
      </w:r>
      <w:r>
        <w:t xml:space="preserve">ustawy </w:t>
      </w:r>
      <w:r>
        <w:rPr>
          <w:lang w:eastAsia="pl-PL" w:bidi="pl-PL"/>
        </w:rPr>
        <w:t>z dnia 20 marca 2025 r. o rynku pracy i służbach zatrudnienia</w:t>
      </w:r>
      <w:r>
        <w:t>;</w:t>
      </w:r>
    </w:p>
    <w:p w14:paraId="2A602149" w14:textId="77777777" w:rsidR="003E66CE" w:rsidRDefault="00110A5E" w:rsidP="00110A5E">
      <w:pPr>
        <w:pStyle w:val="Akapitzlist"/>
        <w:numPr>
          <w:ilvl w:val="0"/>
          <w:numId w:val="16"/>
        </w:numPr>
        <w:ind w:left="993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uzyskuje wynagrodzenie lub inny przychód nieprzekraczający 200% minimalnego wynagrodzenia za pracę</w:t>
      </w:r>
      <w:r>
        <w:rPr>
          <w:rFonts w:cs="Arial"/>
          <w:szCs w:val="24"/>
          <w:lang w:eastAsia="pl-PL" w:bidi="pl-PL"/>
        </w:rPr>
        <w:t>.</w:t>
      </w:r>
    </w:p>
    <w:p w14:paraId="44E9BCB8" w14:textId="77777777" w:rsidR="003E66CE" w:rsidRDefault="00110A5E">
      <w:pPr>
        <w:pStyle w:val="Nagwek2"/>
        <w:jc w:val="center"/>
      </w:pPr>
      <w:r>
        <w:t>Okres obowiązywania umowy</w:t>
      </w:r>
    </w:p>
    <w:p w14:paraId="55F9B875" w14:textId="77777777" w:rsidR="003E66CE" w:rsidRDefault="00110A5E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§ 2.</w:t>
      </w:r>
    </w:p>
    <w:p w14:paraId="682643A2" w14:textId="77777777" w:rsidR="003E66CE" w:rsidRDefault="00110A5E">
      <w:pPr>
        <w:pStyle w:val="Akapitzlist"/>
        <w:numPr>
          <w:ilvl w:val="0"/>
          <w:numId w:val="27"/>
        </w:numPr>
        <w:tabs>
          <w:tab w:val="left" w:leader="dot" w:pos="2977"/>
          <w:tab w:val="left" w:leader="dot" w:pos="3969"/>
          <w:tab w:val="left" w:leader="dot" w:pos="9072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Finansowanie kosztu przejazdu przysługuje od </w:t>
      </w:r>
      <w:r>
        <w:rPr>
          <w:bCs/>
        </w:rPr>
        <w:tab/>
      </w:r>
      <w:r>
        <w:rPr>
          <w:bCs/>
        </w:rPr>
        <w:br/>
        <w:t>do</w:t>
      </w:r>
      <w:r>
        <w:rPr>
          <w:rFonts w:cs="Arial"/>
          <w:szCs w:val="24"/>
        </w:rPr>
        <w:tab/>
        <w:t>lub do momentu:</w:t>
      </w:r>
    </w:p>
    <w:p w14:paraId="1EFD839B" w14:textId="77777777" w:rsidR="003E66CE" w:rsidRDefault="00110A5E">
      <w:pPr>
        <w:pStyle w:val="Akapitzlist"/>
        <w:numPr>
          <w:ilvl w:val="0"/>
          <w:numId w:val="19"/>
        </w:numPr>
        <w:ind w:left="993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zakończenia zatrudnienia, innej pracy zarobkowej lub udziału w formie pomocy,</w:t>
      </w:r>
    </w:p>
    <w:p w14:paraId="7EAE9E68" w14:textId="77777777" w:rsidR="003E66CE" w:rsidRDefault="00110A5E">
      <w:pPr>
        <w:pStyle w:val="Akapitzlist"/>
        <w:numPr>
          <w:ilvl w:val="0"/>
          <w:numId w:val="19"/>
        </w:numPr>
        <w:ind w:left="993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rozwiązania niniejszej umowy przez jedną ze Stron.</w:t>
      </w:r>
    </w:p>
    <w:p w14:paraId="0BFFF877" w14:textId="77777777" w:rsidR="003E66CE" w:rsidRDefault="00110A5E">
      <w:pPr>
        <w:pStyle w:val="Akapitzlist"/>
        <w:numPr>
          <w:ilvl w:val="0"/>
          <w:numId w:val="27"/>
        </w:numPr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Okres obowiązywania umowy może zostać przedłużony aneksem na pisemną prośbę Wnioskodawcy, nie przekraczając okresu wskazanego w § 1.ust.1 w przypadku jej wygaśnięcia i zamiaru dalszej realizacji.</w:t>
      </w:r>
    </w:p>
    <w:p w14:paraId="75EBAA4B" w14:textId="77777777" w:rsidR="003E66CE" w:rsidRDefault="00110A5E">
      <w:pPr>
        <w:pStyle w:val="Nagwek2"/>
        <w:jc w:val="center"/>
      </w:pPr>
      <w:r>
        <w:t>Warunki i zasady finansowania koszt</w:t>
      </w:r>
      <w:r>
        <w:rPr>
          <w:lang w:eastAsia="pl-PL" w:bidi="pl-PL"/>
        </w:rPr>
        <w:t>u</w:t>
      </w:r>
      <w:r>
        <w:t xml:space="preserve"> przejazdu</w:t>
      </w:r>
    </w:p>
    <w:p w14:paraId="6CF100DF" w14:textId="77777777" w:rsidR="003E66CE" w:rsidRDefault="00110A5E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§ 3.</w:t>
      </w:r>
    </w:p>
    <w:p w14:paraId="74BB4E24" w14:textId="77777777" w:rsidR="003E66CE" w:rsidRDefault="00110A5E">
      <w:pPr>
        <w:pStyle w:val="Akapitzlist"/>
        <w:numPr>
          <w:ilvl w:val="0"/>
          <w:numId w:val="26"/>
        </w:numPr>
        <w:tabs>
          <w:tab w:val="clear" w:pos="72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Wnioskodawca zobowiązuje się złożyć comiesięczne rozliczenie finansowania koszt</w:t>
      </w:r>
      <w:r>
        <w:rPr>
          <w:rFonts w:cs="Arial"/>
          <w:szCs w:val="24"/>
          <w:lang w:eastAsia="pl-PL" w:bidi="pl-PL"/>
        </w:rPr>
        <w:t>u</w:t>
      </w:r>
      <w:r>
        <w:rPr>
          <w:rFonts w:cs="Arial"/>
          <w:szCs w:val="24"/>
        </w:rPr>
        <w:t xml:space="preserve"> przejazdu wraz z wymaganymi załącznikami, zgodnie ze wzorem obowiązującym w Urzędzie, do dnia 10 – go każdego miesiąca za miesiąc poprzedni. W przypadku niezłożenia rozliczenia w wymaganym terminie, refundacja nie zostanie wypłacona.</w:t>
      </w:r>
    </w:p>
    <w:p w14:paraId="50B1A0E8" w14:textId="77777777" w:rsidR="003E66CE" w:rsidRDefault="00110A5E">
      <w:pPr>
        <w:pStyle w:val="Akapitzlist"/>
        <w:numPr>
          <w:ilvl w:val="0"/>
          <w:numId w:val="26"/>
        </w:numPr>
        <w:tabs>
          <w:tab w:val="clear" w:pos="72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 przypadku złożenia niekompletnego rozliczenia finansowania kosztu przejazdu, Wnioskodawca zobowiązany jest do jego uzupełnienia w terminie</w:t>
      </w:r>
      <w:r>
        <w:rPr>
          <w:rFonts w:cs="Arial"/>
          <w:szCs w:val="24"/>
          <w:lang w:eastAsia="pl-PL" w:bidi="pl-PL"/>
        </w:rPr>
        <w:t xml:space="preserve"> </w:t>
      </w:r>
      <w:r>
        <w:rPr>
          <w:rFonts w:cs="Arial"/>
          <w:szCs w:val="24"/>
        </w:rPr>
        <w:t>3  dni roboczych.</w:t>
      </w:r>
    </w:p>
    <w:p w14:paraId="4976B86D" w14:textId="77777777" w:rsidR="003E66CE" w:rsidRDefault="00110A5E">
      <w:pPr>
        <w:pStyle w:val="Akapitzlist"/>
        <w:numPr>
          <w:ilvl w:val="0"/>
          <w:numId w:val="26"/>
        </w:numPr>
        <w:tabs>
          <w:tab w:val="clear" w:pos="72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Finansowanie kosztu przejazdu przysługuje wyłącznie w przypadku</w:t>
      </w:r>
      <w:r>
        <w:rPr>
          <w:rFonts w:cs="Arial"/>
          <w:szCs w:val="24"/>
          <w:lang w:eastAsia="pl-PL" w:bidi="pl-PL"/>
        </w:rPr>
        <w:t>,</w:t>
      </w:r>
      <w:r>
        <w:rPr>
          <w:rFonts w:cs="Arial"/>
          <w:szCs w:val="24"/>
        </w:rPr>
        <w:t xml:space="preserve"> gdy miejsce wykonywania pracy lub udziału w formie pomocy, znajduje się w innej miejscowości niż miejsce zameldowania/ zamieszkania zgłoszone</w:t>
      </w:r>
      <w:r>
        <w:rPr>
          <w:rFonts w:cs="Arial"/>
          <w:szCs w:val="24"/>
        </w:rPr>
        <w:br/>
        <w:t xml:space="preserve">w </w:t>
      </w:r>
      <w:r>
        <w:rPr>
          <w:rFonts w:cs="Arial"/>
          <w:szCs w:val="24"/>
          <w:lang w:eastAsia="pl-PL" w:bidi="pl-PL"/>
        </w:rPr>
        <w:t>Urzędzie</w:t>
      </w:r>
      <w:r>
        <w:rPr>
          <w:rFonts w:cs="Arial"/>
          <w:szCs w:val="24"/>
        </w:rPr>
        <w:t>.</w:t>
      </w:r>
    </w:p>
    <w:p w14:paraId="6A8E06C3" w14:textId="77777777" w:rsidR="003E66CE" w:rsidRDefault="00110A5E">
      <w:pPr>
        <w:pStyle w:val="Akapitzlist"/>
        <w:numPr>
          <w:ilvl w:val="0"/>
          <w:numId w:val="26"/>
        </w:numPr>
        <w:tabs>
          <w:tab w:val="clear" w:pos="72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Maksymalna miesięczna kwota finansowania kosztu przejazdu nie może przekroczyć 300 zł miesięcznie.</w:t>
      </w:r>
    </w:p>
    <w:p w14:paraId="65A64685" w14:textId="77777777" w:rsidR="003E66CE" w:rsidRDefault="00110A5E">
      <w:pPr>
        <w:pStyle w:val="Akapitzlist"/>
        <w:numPr>
          <w:ilvl w:val="0"/>
          <w:numId w:val="26"/>
        </w:numPr>
        <w:tabs>
          <w:tab w:val="clear" w:pos="72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 przypadku braku komunikacji publicznej lub dogodnego środka transportu z  miejsca zamieszkania do miejsca zatrudnienia, innej pracy zarobkowej lub </w:t>
      </w:r>
      <w:r>
        <w:rPr>
          <w:rFonts w:cs="Arial"/>
          <w:szCs w:val="24"/>
          <w:lang w:eastAsia="pl-PL" w:bidi="pl-PL"/>
        </w:rPr>
        <w:t xml:space="preserve">udziału w </w:t>
      </w:r>
      <w:r>
        <w:rPr>
          <w:rFonts w:cs="Arial"/>
          <w:szCs w:val="24"/>
        </w:rPr>
        <w:t>form</w:t>
      </w:r>
      <w:r>
        <w:rPr>
          <w:rFonts w:cs="Arial"/>
          <w:szCs w:val="24"/>
          <w:lang w:eastAsia="pl-PL" w:bidi="pl-PL"/>
        </w:rPr>
        <w:t>ie</w:t>
      </w:r>
      <w:r>
        <w:rPr>
          <w:rFonts w:cs="Arial"/>
          <w:szCs w:val="24"/>
        </w:rPr>
        <w:t xml:space="preserve"> pomocy</w:t>
      </w:r>
      <w:r>
        <w:rPr>
          <w:rFonts w:cs="Arial"/>
          <w:szCs w:val="24"/>
          <w:lang w:eastAsia="pl-PL" w:bidi="pl-PL"/>
        </w:rPr>
        <w:t>,</w:t>
      </w:r>
      <w:r>
        <w:rPr>
          <w:rFonts w:cs="Arial"/>
          <w:szCs w:val="24"/>
        </w:rPr>
        <w:t xml:space="preserve"> dopuszcza się możliwość </w:t>
      </w:r>
      <w:r>
        <w:rPr>
          <w:rFonts w:cs="Arial"/>
          <w:szCs w:val="24"/>
          <w:lang w:eastAsia="pl-PL" w:bidi="pl-PL"/>
        </w:rPr>
        <w:t>przejazdu</w:t>
      </w:r>
      <w:r>
        <w:rPr>
          <w:rFonts w:cs="Arial"/>
          <w:szCs w:val="24"/>
        </w:rPr>
        <w:t xml:space="preserve"> prywatnym samochodem osobowym/ pojazdem silnikowym jednośladowym.</w:t>
      </w:r>
    </w:p>
    <w:p w14:paraId="36EC5ACC" w14:textId="77777777" w:rsidR="003E66CE" w:rsidRDefault="00110A5E">
      <w:pPr>
        <w:pStyle w:val="Akapitzlist"/>
        <w:numPr>
          <w:ilvl w:val="0"/>
          <w:numId w:val="26"/>
        </w:numPr>
        <w:tabs>
          <w:tab w:val="clear" w:pos="72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W przypadku przejazdu własnym samochodem osobowym/ pojazdem silnikowym jednośladowym, gdzie </w:t>
      </w:r>
      <w:r>
        <w:rPr>
          <w:rFonts w:cs="Arial"/>
          <w:szCs w:val="24"/>
          <w:lang w:eastAsia="pl-PL" w:bidi="pl-PL"/>
        </w:rPr>
        <w:t>dojazdy</w:t>
      </w:r>
      <w:r>
        <w:rPr>
          <w:rFonts w:cs="Arial"/>
          <w:szCs w:val="24"/>
        </w:rPr>
        <w:t xml:space="preserve"> obejmują pełen miesiąc, a na danej trasie występuj</w:t>
      </w:r>
      <w:r>
        <w:rPr>
          <w:rFonts w:cs="Arial"/>
          <w:szCs w:val="24"/>
          <w:lang w:eastAsia="pl-PL" w:bidi="pl-PL"/>
        </w:rPr>
        <w:t>e</w:t>
      </w:r>
      <w:r>
        <w:rPr>
          <w:rFonts w:cs="Arial"/>
          <w:szCs w:val="24"/>
        </w:rPr>
        <w:t xml:space="preserve"> komunikacja publiczna, finansowanie koszt</w:t>
      </w:r>
      <w:r>
        <w:rPr>
          <w:rFonts w:cs="Arial"/>
          <w:szCs w:val="24"/>
          <w:lang w:eastAsia="pl-PL" w:bidi="pl-PL"/>
        </w:rPr>
        <w:t>u</w:t>
      </w:r>
      <w:r>
        <w:rPr>
          <w:rFonts w:cs="Arial"/>
          <w:szCs w:val="24"/>
        </w:rPr>
        <w:t xml:space="preserve"> przejazdu dokonywane jest do wysokości ceny biletu miesięcznego na danej trasie.</w:t>
      </w:r>
    </w:p>
    <w:p w14:paraId="24640EF7" w14:textId="77777777" w:rsidR="003E66CE" w:rsidRDefault="00110A5E">
      <w:pPr>
        <w:pStyle w:val="Akapitzlist"/>
        <w:numPr>
          <w:ilvl w:val="0"/>
          <w:numId w:val="26"/>
        </w:numPr>
        <w:tabs>
          <w:tab w:val="clear" w:pos="72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 przypadku</w:t>
      </w:r>
      <w:r>
        <w:rPr>
          <w:rFonts w:cs="Arial"/>
          <w:szCs w:val="24"/>
          <w:lang w:eastAsia="pl-PL" w:bidi="pl-PL"/>
        </w:rPr>
        <w:t>,</w:t>
      </w:r>
      <w:r>
        <w:rPr>
          <w:rFonts w:cs="Arial"/>
          <w:szCs w:val="24"/>
        </w:rPr>
        <w:t xml:space="preserve"> gdy przejazdy nie obejmują pełnego miesiąca</w:t>
      </w:r>
      <w:r>
        <w:rPr>
          <w:rFonts w:cs="Arial"/>
          <w:szCs w:val="24"/>
          <w:lang w:eastAsia="pl-PL" w:bidi="pl-PL"/>
        </w:rPr>
        <w:t>,</w:t>
      </w:r>
      <w:r>
        <w:rPr>
          <w:rFonts w:cs="Arial"/>
          <w:szCs w:val="24"/>
        </w:rPr>
        <w:t xml:space="preserve"> finansowanie koszt</w:t>
      </w:r>
      <w:r>
        <w:rPr>
          <w:rFonts w:cs="Arial"/>
          <w:szCs w:val="24"/>
          <w:lang w:eastAsia="pl-PL" w:bidi="pl-PL"/>
        </w:rPr>
        <w:t>u</w:t>
      </w:r>
      <w:r>
        <w:rPr>
          <w:rFonts w:cs="Arial"/>
          <w:szCs w:val="24"/>
        </w:rPr>
        <w:t xml:space="preserve"> przejazdu własnym samochodem osobowym/ pojazdem silnikowym jednośladowym zostanie wyliczon</w:t>
      </w:r>
      <w:r>
        <w:rPr>
          <w:rFonts w:cs="Arial"/>
          <w:szCs w:val="24"/>
          <w:lang w:eastAsia="pl-PL" w:bidi="pl-PL"/>
        </w:rPr>
        <w:t>e</w:t>
      </w:r>
      <w:r>
        <w:rPr>
          <w:rFonts w:cs="Arial"/>
          <w:szCs w:val="24"/>
        </w:rPr>
        <w:t xml:space="preserve"> w następujący sposób:</w:t>
      </w:r>
      <w:r>
        <w:rPr>
          <w:rFonts w:cs="Arial"/>
          <w:szCs w:val="24"/>
        </w:rPr>
        <w:br/>
        <w:t>miesięczna kwota</w:t>
      </w:r>
      <w:r>
        <w:rPr>
          <w:rFonts w:cs="Arial"/>
          <w:szCs w:val="24"/>
          <w:lang w:eastAsia="pl-PL" w:bidi="pl-PL"/>
        </w:rPr>
        <w:t xml:space="preserve"> zwrotu za przejazd</w:t>
      </w:r>
      <w:r>
        <w:rPr>
          <w:rFonts w:cs="Arial"/>
          <w:szCs w:val="24"/>
        </w:rPr>
        <w:t>/ 30 dni x liczba dni pracy/ udziału w formie pomocy = kwota finansowania kosztu przejazdu.</w:t>
      </w:r>
    </w:p>
    <w:p w14:paraId="2D9EDED1" w14:textId="77777777" w:rsidR="003E66CE" w:rsidRDefault="00110A5E">
      <w:pPr>
        <w:pStyle w:val="Akapitzlist"/>
        <w:numPr>
          <w:ilvl w:val="0"/>
          <w:numId w:val="26"/>
        </w:numPr>
        <w:tabs>
          <w:tab w:val="clear" w:pos="72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 przypadku</w:t>
      </w:r>
      <w:r>
        <w:rPr>
          <w:rFonts w:cs="Arial"/>
          <w:szCs w:val="24"/>
          <w:lang w:eastAsia="pl-PL" w:bidi="pl-PL"/>
        </w:rPr>
        <w:t>,</w:t>
      </w:r>
      <w:r>
        <w:rPr>
          <w:rFonts w:cs="Arial"/>
          <w:szCs w:val="24"/>
        </w:rPr>
        <w:t xml:space="preserve"> gdy przejazdy nie obejmują pełnego miesiąca, finansowanie kosztu przejazdu komunikacją publiczną zostanie wyliczone w następujący sposób: cena biletu miesięcznego</w:t>
      </w:r>
      <w:r>
        <w:rPr>
          <w:rFonts w:cs="Arial"/>
          <w:szCs w:val="24"/>
          <w:lang w:eastAsia="pl-PL" w:bidi="pl-PL"/>
        </w:rPr>
        <w:t xml:space="preserve"> (nie więcej niż 300 zł)</w:t>
      </w:r>
      <w:r>
        <w:rPr>
          <w:rFonts w:cs="Arial"/>
          <w:szCs w:val="24"/>
        </w:rPr>
        <w:t>/30 dni x liczba dni pracy/ udziału w formie pomocy = kwota finansowania kosztu.</w:t>
      </w:r>
    </w:p>
    <w:p w14:paraId="42D6BD89" w14:textId="77777777" w:rsidR="003E66CE" w:rsidRDefault="00110A5E">
      <w:pPr>
        <w:pStyle w:val="Akapitzlist"/>
        <w:numPr>
          <w:ilvl w:val="0"/>
          <w:numId w:val="26"/>
        </w:numPr>
        <w:tabs>
          <w:tab w:val="clear" w:pos="72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Finansowanie kosztu </w:t>
      </w:r>
      <w:r>
        <w:rPr>
          <w:rFonts w:cs="Arial"/>
          <w:szCs w:val="24"/>
          <w:lang w:eastAsia="pl-PL" w:bidi="pl-PL"/>
        </w:rPr>
        <w:t xml:space="preserve">przejazdu </w:t>
      </w:r>
      <w:r>
        <w:rPr>
          <w:rFonts w:cs="Arial"/>
          <w:szCs w:val="24"/>
        </w:rPr>
        <w:t>dotyczy przejazdu najtańszym, dogodnym środkiem transportu publicznego obsługiwanym przez przewoźnika wykonującego usługi w zakresie publicznego transportu zbiorowego. Najtańszy koszt przejazdu oznacza opłatę za przejazd z miejsca zamieszkania do miejsca zatrudnienia, innej pracy zarobkowej lub miejsca odbywania formy pomocy i  z  powrotem.</w:t>
      </w:r>
    </w:p>
    <w:p w14:paraId="433200CB" w14:textId="77777777" w:rsidR="003E66CE" w:rsidRDefault="00110A5E">
      <w:pPr>
        <w:pStyle w:val="Akapitzlist"/>
        <w:numPr>
          <w:ilvl w:val="0"/>
          <w:numId w:val="26"/>
        </w:numPr>
        <w:tabs>
          <w:tab w:val="clear" w:pos="72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Wnioskodawca zobowiązany jest do udokumentowania poniesion</w:t>
      </w:r>
      <w:r>
        <w:rPr>
          <w:rFonts w:cs="Arial"/>
          <w:szCs w:val="24"/>
          <w:lang w:eastAsia="pl-PL" w:bidi="pl-PL"/>
        </w:rPr>
        <w:t>ego</w:t>
      </w:r>
      <w:r>
        <w:rPr>
          <w:rFonts w:cs="Arial"/>
          <w:szCs w:val="24"/>
        </w:rPr>
        <w:t xml:space="preserve"> koszt</w:t>
      </w:r>
      <w:r>
        <w:rPr>
          <w:rFonts w:cs="Arial"/>
          <w:szCs w:val="24"/>
          <w:lang w:eastAsia="pl-PL" w:bidi="pl-PL"/>
        </w:rPr>
        <w:t>u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  <w:lang w:eastAsia="pl-PL" w:bidi="pl-PL"/>
        </w:rPr>
        <w:t>za</w:t>
      </w:r>
      <w:r>
        <w:rPr>
          <w:rFonts w:cs="Arial"/>
          <w:szCs w:val="24"/>
        </w:rPr>
        <w:t> przejazd środkami transportu publicznego poprzez:</w:t>
      </w:r>
    </w:p>
    <w:p w14:paraId="70554548" w14:textId="77777777" w:rsidR="003E66CE" w:rsidRDefault="00110A5E">
      <w:pPr>
        <w:pStyle w:val="Akapitzlist"/>
        <w:numPr>
          <w:ilvl w:val="0"/>
          <w:numId w:val="11"/>
        </w:numPr>
        <w:ind w:left="992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jednorazowe bilety lub;</w:t>
      </w:r>
    </w:p>
    <w:p w14:paraId="124FDDAF" w14:textId="77777777" w:rsidR="003E66CE" w:rsidRDefault="00110A5E">
      <w:pPr>
        <w:pStyle w:val="Akapitzlist"/>
        <w:numPr>
          <w:ilvl w:val="0"/>
          <w:numId w:val="11"/>
        </w:numPr>
        <w:ind w:left="992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imienne bilety miesięczne lub;</w:t>
      </w:r>
    </w:p>
    <w:p w14:paraId="1CF8463D" w14:textId="77777777" w:rsidR="003E66CE" w:rsidRDefault="00110A5E">
      <w:pPr>
        <w:pStyle w:val="Akapitzlist"/>
        <w:numPr>
          <w:ilvl w:val="0"/>
          <w:numId w:val="11"/>
        </w:numPr>
        <w:ind w:left="992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imienną fakturę VAT za paliwo.</w:t>
      </w:r>
    </w:p>
    <w:p w14:paraId="7BAB4675" w14:textId="77777777" w:rsidR="003E66CE" w:rsidRDefault="00110A5E">
      <w:pPr>
        <w:pStyle w:val="Akapitzlist"/>
        <w:numPr>
          <w:ilvl w:val="0"/>
          <w:numId w:val="26"/>
        </w:numPr>
        <w:tabs>
          <w:tab w:val="clear" w:pos="72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 przypadku</w:t>
      </w:r>
      <w:r>
        <w:rPr>
          <w:rFonts w:cs="Arial"/>
          <w:szCs w:val="24"/>
          <w:lang w:eastAsia="pl-PL" w:bidi="pl-PL"/>
        </w:rPr>
        <w:t>,</w:t>
      </w:r>
      <w:r>
        <w:rPr>
          <w:rFonts w:cs="Arial"/>
          <w:szCs w:val="24"/>
        </w:rPr>
        <w:t xml:space="preserve"> gdy finansowanie kosztu przejazdu będzie dokonywan</w:t>
      </w:r>
      <w:r>
        <w:rPr>
          <w:rFonts w:cs="Arial"/>
          <w:szCs w:val="24"/>
          <w:lang w:eastAsia="pl-PL" w:bidi="pl-PL"/>
        </w:rPr>
        <w:t>e</w:t>
      </w:r>
      <w:r>
        <w:rPr>
          <w:rFonts w:cs="Arial"/>
          <w:szCs w:val="24"/>
        </w:rPr>
        <w:t xml:space="preserve"> na podstawie sumy biletów jednorazowych, ich zakup będzie kwalifikowany, jeżeli jest tańszy od zakupu biletu miesięcznego w danym okresie/miesiącu. Jeżeli koszt zakupu biletów jednorazowych będzie wyższy od kosztu zakupu biletu</w:t>
      </w:r>
      <w:r>
        <w:rPr>
          <w:rFonts w:cs="Arial"/>
          <w:szCs w:val="24"/>
          <w:lang w:eastAsia="pl-PL" w:bidi="pl-PL"/>
        </w:rPr>
        <w:t xml:space="preserve"> </w:t>
      </w:r>
      <w:r>
        <w:rPr>
          <w:rFonts w:cs="Arial"/>
          <w:szCs w:val="24"/>
        </w:rPr>
        <w:t>miesięcznego, w takiej sytuacji zwrot koszt</w:t>
      </w:r>
      <w:r>
        <w:rPr>
          <w:rFonts w:cs="Arial"/>
          <w:szCs w:val="24"/>
          <w:lang w:eastAsia="pl-PL" w:bidi="pl-PL"/>
        </w:rPr>
        <w:t>u</w:t>
      </w:r>
      <w:r>
        <w:rPr>
          <w:rFonts w:cs="Arial"/>
          <w:szCs w:val="24"/>
        </w:rPr>
        <w:t xml:space="preserve"> przejazdu nastąpi do ceny biletu miesięcznego obowiązującego na danej trasie.</w:t>
      </w:r>
    </w:p>
    <w:p w14:paraId="74BAEE76" w14:textId="5EDC6D21" w:rsidR="003E66CE" w:rsidRDefault="00110A5E">
      <w:pPr>
        <w:pStyle w:val="Akapitzlist"/>
        <w:numPr>
          <w:ilvl w:val="0"/>
          <w:numId w:val="26"/>
        </w:numPr>
        <w:tabs>
          <w:tab w:val="clear" w:pos="72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Odległość kilometrowa z miejsca zamieszkania do miejsca </w:t>
      </w:r>
      <w:r>
        <w:rPr>
          <w:rFonts w:cs="Arial"/>
          <w:szCs w:val="24"/>
          <w:lang w:eastAsia="pl-PL" w:bidi="pl-PL"/>
        </w:rPr>
        <w:t xml:space="preserve">zatrudnienia, wykonywania innej pracy zarobkowej lub udziału w </w:t>
      </w:r>
      <w:r>
        <w:rPr>
          <w:rFonts w:cs="Arial"/>
          <w:szCs w:val="24"/>
        </w:rPr>
        <w:t>form</w:t>
      </w:r>
      <w:r>
        <w:rPr>
          <w:rFonts w:cs="Arial"/>
          <w:szCs w:val="24"/>
          <w:lang w:eastAsia="pl-PL" w:bidi="pl-PL"/>
        </w:rPr>
        <w:t>ie pomocy,</w:t>
      </w:r>
      <w:r>
        <w:rPr>
          <w:rFonts w:cs="Arial"/>
          <w:szCs w:val="24"/>
        </w:rPr>
        <w:t xml:space="preserve"> będzie wyliczana przez Urząd na podstawie </w:t>
      </w:r>
      <w:r w:rsidRPr="00110A5E">
        <w:rPr>
          <w:rFonts w:cs="Arial"/>
          <w:szCs w:val="24"/>
        </w:rPr>
        <w:t xml:space="preserve">Google </w:t>
      </w:r>
      <w:r w:rsidRPr="00110A5E">
        <w:rPr>
          <w:rFonts w:cs="Arial"/>
          <w:szCs w:val="24"/>
          <w:lang w:val="en-US"/>
        </w:rPr>
        <w:t>Maps</w:t>
      </w:r>
      <w:r>
        <w:rPr>
          <w:rFonts w:cs="Arial"/>
          <w:szCs w:val="24"/>
        </w:rPr>
        <w:t xml:space="preserve"> (tam i z powrotem).</w:t>
      </w:r>
    </w:p>
    <w:p w14:paraId="425B1DBA" w14:textId="77777777" w:rsidR="003E66CE" w:rsidRDefault="00110A5E">
      <w:pPr>
        <w:pStyle w:val="Akapitzlist"/>
        <w:numPr>
          <w:ilvl w:val="0"/>
          <w:numId w:val="26"/>
        </w:numPr>
        <w:tabs>
          <w:tab w:val="clear" w:pos="720"/>
          <w:tab w:val="left" w:leader="dot" w:pos="9072"/>
        </w:tabs>
        <w:ind w:left="425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Urząd dokona finansowania kosztów przejazdu w terminie 30 dni od dnia złożenia kompletnego i prawidłowego rozliczenia finansowania koszt</w:t>
      </w:r>
      <w:r>
        <w:rPr>
          <w:rFonts w:cs="Arial"/>
          <w:szCs w:val="24"/>
          <w:lang w:eastAsia="pl-PL" w:bidi="pl-PL"/>
        </w:rPr>
        <w:t>u</w:t>
      </w:r>
      <w:r>
        <w:rPr>
          <w:rFonts w:cs="Arial"/>
          <w:szCs w:val="24"/>
        </w:rPr>
        <w:t xml:space="preserve"> przejazdu na wskazane przez Wnioskodawcę konto bankowe </w:t>
      </w:r>
      <w:r>
        <w:rPr>
          <w:rFonts w:cs="Arial"/>
          <w:szCs w:val="24"/>
        </w:rPr>
        <w:br/>
        <w:t xml:space="preserve">nr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br/>
        <w:t>pod warunkiem dostępności środków finansowych.</w:t>
      </w:r>
    </w:p>
    <w:p w14:paraId="3C9041F6" w14:textId="77777777" w:rsidR="003E66CE" w:rsidRDefault="00110A5E">
      <w:pPr>
        <w:pStyle w:val="Akapitzlist"/>
        <w:numPr>
          <w:ilvl w:val="0"/>
          <w:numId w:val="26"/>
        </w:numPr>
        <w:tabs>
          <w:tab w:val="clear" w:pos="720"/>
        </w:tabs>
        <w:ind w:left="425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Wnioskodawca zobowiązuje się do niezwłocznego poinformowania Urzędu w formie pisemnej o ustaniu zatrudnienia</w:t>
      </w:r>
      <w:r>
        <w:rPr>
          <w:rFonts w:cs="Arial"/>
          <w:szCs w:val="24"/>
          <w:lang w:eastAsia="pl-PL" w:bidi="pl-PL"/>
        </w:rPr>
        <w:t>, innej pracy zarobkowej lub</w:t>
      </w:r>
      <w:r>
        <w:rPr>
          <w:rFonts w:cs="Arial"/>
          <w:szCs w:val="24"/>
        </w:rPr>
        <w:t xml:space="preserve"> udziału w formie pomocy w terminie 7 dni roboczych.</w:t>
      </w:r>
    </w:p>
    <w:p w14:paraId="053F4899" w14:textId="77777777" w:rsidR="003E66CE" w:rsidRDefault="00110A5E">
      <w:pPr>
        <w:pStyle w:val="Nagwek2"/>
        <w:jc w:val="center"/>
        <w:rPr>
          <w:b w:val="0"/>
        </w:rPr>
      </w:pPr>
      <w:r>
        <w:t>Zwrot świadczenia</w:t>
      </w:r>
    </w:p>
    <w:p w14:paraId="67D0BAF8" w14:textId="77777777" w:rsidR="003E66CE" w:rsidRDefault="00110A5E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§ 4.</w:t>
      </w:r>
    </w:p>
    <w:p w14:paraId="4DA1AE6F" w14:textId="77777777" w:rsidR="003E66CE" w:rsidRDefault="00110A5E">
      <w:pPr>
        <w:pStyle w:val="Akapitzlist"/>
        <w:numPr>
          <w:ilvl w:val="3"/>
          <w:numId w:val="26"/>
        </w:numPr>
        <w:tabs>
          <w:tab w:val="clear" w:pos="2880"/>
        </w:tabs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 przypadku stwierdzenia, że Wnioskodawca nie</w:t>
      </w:r>
      <w:r>
        <w:rPr>
          <w:rFonts w:cs="Arial"/>
          <w:szCs w:val="24"/>
          <w:lang w:eastAsia="pl-PL" w:bidi="pl-PL"/>
        </w:rPr>
        <w:t>n</w:t>
      </w:r>
      <w:r>
        <w:rPr>
          <w:rFonts w:cs="Arial"/>
          <w:szCs w:val="24"/>
        </w:rPr>
        <w:t>ależnie pobra</w:t>
      </w:r>
      <w:r>
        <w:rPr>
          <w:rFonts w:cs="Arial"/>
          <w:szCs w:val="24"/>
          <w:lang w:eastAsia="pl-PL" w:bidi="pl-PL"/>
        </w:rPr>
        <w:t>ł</w:t>
      </w:r>
      <w:r>
        <w:rPr>
          <w:rFonts w:cs="Arial"/>
          <w:szCs w:val="24"/>
        </w:rPr>
        <w:t xml:space="preserve"> świadczeni</w:t>
      </w:r>
      <w:r>
        <w:rPr>
          <w:rFonts w:cs="Arial"/>
          <w:szCs w:val="24"/>
          <w:lang w:eastAsia="pl-PL" w:bidi="pl-PL"/>
        </w:rPr>
        <w:t>e</w:t>
      </w:r>
      <w:r>
        <w:rPr>
          <w:rFonts w:cs="Arial"/>
          <w:szCs w:val="24"/>
        </w:rPr>
        <w:t xml:space="preserve"> pieniężne, jest zobowiązany do jego zwrotu w terminie 30 dni kalendarzowych od daty doręczenia decyzji starosty.</w:t>
      </w:r>
    </w:p>
    <w:p w14:paraId="4EADB935" w14:textId="77777777" w:rsidR="003E66CE" w:rsidRDefault="00110A5E">
      <w:pPr>
        <w:pStyle w:val="Akapitzlist"/>
        <w:numPr>
          <w:ilvl w:val="3"/>
          <w:numId w:val="26"/>
        </w:numPr>
        <w:tabs>
          <w:tab w:val="clear" w:pos="2880"/>
        </w:tabs>
        <w:ind w:left="426" w:hanging="426"/>
        <w:contextualSpacing w:val="0"/>
        <w:rPr>
          <w:rFonts w:cs="Arial"/>
          <w:szCs w:val="24"/>
        </w:rPr>
      </w:pPr>
      <w:r>
        <w:rPr>
          <w:rFonts w:eastAsia="Calibri" w:cs="Arial"/>
          <w:szCs w:val="24"/>
        </w:rPr>
        <w:t>Zgodnie z art. 246 ust. 2 pkt 4 lit. a) i b) Ustawy z dnia 20 marca 2025 r. o rynku pracy i służbach zatrudnienia</w:t>
      </w:r>
      <w:r>
        <w:rPr>
          <w:rFonts w:cs="Arial"/>
          <w:szCs w:val="24"/>
        </w:rPr>
        <w:t xml:space="preserve"> Za nie</w:t>
      </w:r>
      <w:r>
        <w:rPr>
          <w:rFonts w:cs="Arial"/>
          <w:szCs w:val="24"/>
          <w:lang w:eastAsia="pl-PL" w:bidi="pl-PL"/>
        </w:rPr>
        <w:t>n</w:t>
      </w:r>
      <w:r>
        <w:rPr>
          <w:rFonts w:cs="Arial"/>
          <w:szCs w:val="24"/>
        </w:rPr>
        <w:t>ależnie pobrane świadczeni</w:t>
      </w:r>
      <w:r>
        <w:rPr>
          <w:rFonts w:cs="Arial"/>
          <w:szCs w:val="24"/>
          <w:lang w:eastAsia="pl-PL" w:bidi="pl-PL"/>
        </w:rPr>
        <w:t>e</w:t>
      </w:r>
      <w:r>
        <w:rPr>
          <w:rFonts w:cs="Arial"/>
          <w:szCs w:val="24"/>
        </w:rPr>
        <w:t xml:space="preserve"> pieniężne uważa się:</w:t>
      </w:r>
    </w:p>
    <w:p w14:paraId="79A6FAC5" w14:textId="21874E88" w:rsidR="003E66CE" w:rsidRDefault="00110A5E">
      <w:pPr>
        <w:pStyle w:val="Akapitzlist"/>
        <w:numPr>
          <w:ilvl w:val="0"/>
          <w:numId w:val="31"/>
        </w:numPr>
        <w:ind w:left="992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skierowania do formy pomocy na podstawie nieprawdziwych oświadczeń lub sfałszowanych dokumentów albo w innych przypadkach świadomego wprowadzenia w błąd starosty przez osobę lub</w:t>
      </w:r>
    </w:p>
    <w:p w14:paraId="15EF5393" w14:textId="77777777" w:rsidR="003E66CE" w:rsidRDefault="00110A5E">
      <w:pPr>
        <w:pStyle w:val="Akapitzlist"/>
        <w:numPr>
          <w:ilvl w:val="0"/>
          <w:numId w:val="31"/>
        </w:numPr>
        <w:ind w:left="992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niepodjęcia lub przerwania formy pomocy z własnej winy.</w:t>
      </w:r>
    </w:p>
    <w:p w14:paraId="1965F98F" w14:textId="77777777" w:rsidR="003E66CE" w:rsidRDefault="00110A5E">
      <w:pPr>
        <w:pStyle w:val="Nagwek2"/>
        <w:jc w:val="center"/>
      </w:pPr>
      <w:r>
        <w:t>Doręczenia</w:t>
      </w:r>
    </w:p>
    <w:p w14:paraId="78239D8A" w14:textId="77777777" w:rsidR="003E66CE" w:rsidRDefault="00110A5E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§ 5.</w:t>
      </w:r>
    </w:p>
    <w:p w14:paraId="095FB8FD" w14:textId="77777777" w:rsidR="003E66CE" w:rsidRDefault="00110A5E">
      <w:pPr>
        <w:pStyle w:val="Akapitzlist"/>
        <w:numPr>
          <w:ilvl w:val="6"/>
          <w:numId w:val="26"/>
        </w:numPr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Strony zastrzegają następujące adresy dla doręczeń:</w:t>
      </w:r>
    </w:p>
    <w:p w14:paraId="38486D25" w14:textId="77777777" w:rsidR="003E66CE" w:rsidRDefault="00110A5E" w:rsidP="00110A5E">
      <w:pPr>
        <w:pStyle w:val="Akapitzlist"/>
        <w:numPr>
          <w:ilvl w:val="0"/>
          <w:numId w:val="4"/>
        </w:numPr>
        <w:tabs>
          <w:tab w:val="left" w:leader="dot" w:pos="9072"/>
        </w:tabs>
        <w:ind w:left="993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Wnioskodawca: </w:t>
      </w:r>
      <w:r>
        <w:rPr>
          <w:rFonts w:cs="Arial"/>
          <w:szCs w:val="24"/>
        </w:rPr>
        <w:tab/>
      </w:r>
    </w:p>
    <w:p w14:paraId="4D8FF6DD" w14:textId="23F45A69" w:rsidR="003E66CE" w:rsidRDefault="00110A5E" w:rsidP="00110A5E">
      <w:pPr>
        <w:pStyle w:val="Akapitzlist"/>
        <w:numPr>
          <w:ilvl w:val="0"/>
          <w:numId w:val="4"/>
        </w:numPr>
        <w:ind w:left="993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Urząd: ul. Tadeusza Zawadzkiego „Zośki” 11, 82-440 Dzierzgoń.</w:t>
      </w:r>
    </w:p>
    <w:p w14:paraId="26FE4EA2" w14:textId="77777777" w:rsidR="003E66CE" w:rsidRDefault="00110A5E">
      <w:pPr>
        <w:pStyle w:val="Akapitzlist"/>
        <w:numPr>
          <w:ilvl w:val="2"/>
          <w:numId w:val="26"/>
        </w:numPr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Zmiana ww. adresów nie stanowi zmiany umowy. W przypadku zmiany adresu, strona</w:t>
      </w:r>
      <w:r>
        <w:rPr>
          <w:rFonts w:cs="Arial"/>
          <w:szCs w:val="24"/>
          <w:lang w:eastAsia="pl-PL" w:bidi="pl-PL"/>
        </w:rPr>
        <w:t>,</w:t>
      </w:r>
      <w:r>
        <w:rPr>
          <w:rFonts w:cs="Arial"/>
          <w:szCs w:val="24"/>
        </w:rPr>
        <w:t xml:space="preserve"> której zmiana dotyczy jest zobowiązana do niezwłocznego poinformowania o tym fakcie drugą stronę w formie pisemnej. Niewywiązanie się  z obowiązku poinformowania o zmianie adresu, skutkuje uznaniem korespondencji wysłanej na ostatni znany stronie adres, za doręczoną.</w:t>
      </w:r>
    </w:p>
    <w:p w14:paraId="051B683C" w14:textId="77777777" w:rsidR="003E66CE" w:rsidRDefault="00110A5E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77A6EF0" w14:textId="77777777" w:rsidR="003E66CE" w:rsidRDefault="00110A5E">
      <w:pPr>
        <w:pStyle w:val="Akapitzlist"/>
        <w:numPr>
          <w:ilvl w:val="2"/>
          <w:numId w:val="26"/>
        </w:numPr>
        <w:ind w:left="426" w:hanging="426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Strony ustalają adresy mailowe do bieżących kontaktów w ramach realizacji niniejszej umowy:</w:t>
      </w:r>
    </w:p>
    <w:p w14:paraId="7EFE95F2" w14:textId="77777777" w:rsidR="003E66CE" w:rsidRDefault="00110A5E">
      <w:pPr>
        <w:tabs>
          <w:tab w:val="left" w:leader="dot" w:pos="5954"/>
        </w:tabs>
        <w:spacing w:line="360" w:lineRule="auto"/>
        <w:ind w:left="426"/>
        <w:rPr>
          <w:rFonts w:cs="Arial"/>
          <w:szCs w:val="24"/>
        </w:rPr>
      </w:pPr>
      <w:r>
        <w:rPr>
          <w:rFonts w:cs="Arial"/>
          <w:szCs w:val="24"/>
        </w:rPr>
        <w:t xml:space="preserve">Urząd: </w:t>
      </w:r>
      <w:r>
        <w:rPr>
          <w:rFonts w:cs="Arial"/>
          <w:szCs w:val="24"/>
          <w:lang w:eastAsia="pl-PL" w:bidi="pl-PL"/>
        </w:rPr>
        <w:t>gdsz@praca.gov.pl</w:t>
      </w:r>
    </w:p>
    <w:p w14:paraId="07CB5DED" w14:textId="77777777" w:rsidR="003E66CE" w:rsidRDefault="00110A5E">
      <w:pPr>
        <w:tabs>
          <w:tab w:val="center" w:leader="dot" w:pos="5954"/>
        </w:tabs>
        <w:spacing w:line="360" w:lineRule="auto"/>
        <w:ind w:left="426"/>
        <w:rPr>
          <w:rFonts w:cs="Arial"/>
          <w:szCs w:val="24"/>
        </w:rPr>
      </w:pPr>
      <w:r>
        <w:rPr>
          <w:rFonts w:cs="Arial"/>
          <w:szCs w:val="24"/>
        </w:rPr>
        <w:t xml:space="preserve">Wnioskodawca: </w:t>
      </w:r>
      <w:r>
        <w:rPr>
          <w:rFonts w:cs="Arial"/>
          <w:szCs w:val="24"/>
        </w:rPr>
        <w:tab/>
      </w:r>
    </w:p>
    <w:p w14:paraId="1FDF0E10" w14:textId="77777777" w:rsidR="003E66CE" w:rsidRDefault="00110A5E">
      <w:pPr>
        <w:spacing w:line="360" w:lineRule="auto"/>
        <w:ind w:left="426"/>
        <w:rPr>
          <w:rFonts w:cs="Arial"/>
          <w:szCs w:val="24"/>
        </w:rPr>
      </w:pPr>
      <w:r>
        <w:rPr>
          <w:rFonts w:cs="Arial"/>
          <w:szCs w:val="24"/>
        </w:rPr>
        <w:t>bądź kontakt telefoniczny:</w:t>
      </w:r>
    </w:p>
    <w:p w14:paraId="4B2B41CC" w14:textId="77777777" w:rsidR="003E66CE" w:rsidRDefault="00110A5E">
      <w:pPr>
        <w:tabs>
          <w:tab w:val="right" w:leader="dot" w:pos="1701"/>
        </w:tabs>
        <w:spacing w:line="360" w:lineRule="auto"/>
        <w:ind w:left="426"/>
        <w:rPr>
          <w:rFonts w:cs="Arial"/>
          <w:szCs w:val="24"/>
        </w:rPr>
      </w:pPr>
      <w:r>
        <w:rPr>
          <w:rFonts w:cs="Arial"/>
          <w:szCs w:val="24"/>
        </w:rPr>
        <w:t>Urząd: 55 276 22 50</w:t>
      </w:r>
    </w:p>
    <w:p w14:paraId="5587FB9C" w14:textId="77777777" w:rsidR="003E66CE" w:rsidRDefault="00110A5E">
      <w:pPr>
        <w:tabs>
          <w:tab w:val="center" w:leader="dot" w:pos="5954"/>
        </w:tabs>
        <w:spacing w:line="360" w:lineRule="auto"/>
        <w:ind w:left="426"/>
        <w:rPr>
          <w:rFonts w:cs="Arial"/>
          <w:szCs w:val="24"/>
        </w:rPr>
      </w:pPr>
      <w:r>
        <w:rPr>
          <w:rFonts w:cs="Arial"/>
          <w:szCs w:val="24"/>
        </w:rPr>
        <w:t xml:space="preserve">Wnioskodawca: </w:t>
      </w:r>
      <w:r>
        <w:rPr>
          <w:rFonts w:cs="Arial"/>
          <w:szCs w:val="24"/>
        </w:rPr>
        <w:tab/>
      </w:r>
    </w:p>
    <w:p w14:paraId="5CCC7AF8" w14:textId="77777777" w:rsidR="003E66CE" w:rsidRDefault="00110A5E">
      <w:pPr>
        <w:pStyle w:val="Nagwek2"/>
        <w:jc w:val="center"/>
      </w:pPr>
      <w:r>
        <w:t>Postanowieni</w:t>
      </w:r>
      <w:r>
        <w:rPr>
          <w:lang w:eastAsia="pl-PL" w:bidi="pl-PL"/>
        </w:rPr>
        <w:t>a</w:t>
      </w:r>
      <w:r>
        <w:t xml:space="preserve"> końcowe</w:t>
      </w:r>
    </w:p>
    <w:p w14:paraId="2B965A21" w14:textId="77777777" w:rsidR="003E66CE" w:rsidRDefault="00110A5E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§ 6.</w:t>
      </w:r>
    </w:p>
    <w:p w14:paraId="420C7C41" w14:textId="77777777" w:rsidR="003E66CE" w:rsidRDefault="00110A5E">
      <w:pPr>
        <w:numPr>
          <w:ilvl w:val="2"/>
          <w:numId w:val="6"/>
        </w:numPr>
        <w:shd w:val="clear" w:color="auto" w:fill="FFFFFF"/>
        <w:tabs>
          <w:tab w:val="clear" w:pos="2160"/>
        </w:tabs>
        <w:suppressAutoHyphens/>
        <w:spacing w:before="120" w:after="120" w:line="360" w:lineRule="auto"/>
        <w:ind w:left="426" w:hanging="426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Sytuacje nieujęte w umowie będą rozpatrywane zgodnie z obowiązującymi przepisami prawa.</w:t>
      </w:r>
    </w:p>
    <w:p w14:paraId="7407A267" w14:textId="77777777" w:rsidR="003E66CE" w:rsidRDefault="00110A5E">
      <w:pPr>
        <w:pStyle w:val="Akapitzlist"/>
        <w:numPr>
          <w:ilvl w:val="2"/>
          <w:numId w:val="6"/>
        </w:numPr>
        <w:tabs>
          <w:tab w:val="clear" w:pos="2160"/>
        </w:tabs>
        <w:spacing w:before="240" w:after="240"/>
        <w:ind w:left="426" w:hanging="426"/>
        <w:contextualSpacing w:val="0"/>
        <w:rPr>
          <w:rFonts w:cs="Arial"/>
        </w:rPr>
      </w:pPr>
      <w:r>
        <w:rPr>
          <w:rFonts w:cs="Arial"/>
        </w:rPr>
        <w:t>Zgodnie z ustawą z dnia 9 kwietnia 2010 r. o udostępnianiu informacji gospodarczych i wymianie danych gospodarczych, informacja o zobowiązaniu wynikającym z umowy może zostać przekazana przez Urząd do Krajowego Rejestru Długów Biura Informacji Gospodarczej S.A.</w:t>
      </w:r>
    </w:p>
    <w:p w14:paraId="63EE2C9F" w14:textId="77777777" w:rsidR="003E66CE" w:rsidRDefault="00110A5E">
      <w:pPr>
        <w:pStyle w:val="Akapitzlist"/>
        <w:numPr>
          <w:ilvl w:val="2"/>
          <w:numId w:val="6"/>
        </w:numPr>
        <w:tabs>
          <w:tab w:val="clear" w:pos="2160"/>
        </w:tabs>
        <w:spacing w:before="240" w:after="240"/>
        <w:ind w:left="426" w:hanging="426"/>
        <w:contextualSpacing w:val="0"/>
        <w:rPr>
          <w:rFonts w:cs="Arial"/>
        </w:rPr>
      </w:pPr>
      <w:r>
        <w:rPr>
          <w:rFonts w:cs="Arial"/>
        </w:rPr>
        <w:t>Wszelkie spory powstałe na tle lub w związku z realizacją Umowy będą rozstrzygane polubownie. W braku porozumienia, sądem właściwym dla stron będzie sąd powszechny właściwy dla Urzędu.</w:t>
      </w:r>
    </w:p>
    <w:p w14:paraId="4332BC7C" w14:textId="77777777" w:rsidR="003E66CE" w:rsidRDefault="00110A5E">
      <w:pPr>
        <w:pStyle w:val="Akapitzlist"/>
        <w:numPr>
          <w:ilvl w:val="2"/>
          <w:numId w:val="6"/>
        </w:numPr>
        <w:tabs>
          <w:tab w:val="clear" w:pos="2160"/>
        </w:tabs>
        <w:spacing w:before="240" w:after="240"/>
        <w:ind w:left="426" w:hanging="426"/>
        <w:contextualSpacing w:val="0"/>
        <w:rPr>
          <w:rFonts w:cs="Arial"/>
        </w:rPr>
      </w:pPr>
      <w:r>
        <w:rPr>
          <w:rFonts w:cs="Arial"/>
        </w:rPr>
        <w:t>Gdyby jakiekolwiek postanowienie Umowy okazało się nieważne albo bezskuteczne, nie wpływa to na ważność i skuteczność pozostałych postanowień Umowy. W takim przypadku Strony zastąpią postanowienia uznane za nieważne lub bezskuteczne innym, zgodnym z prawem, postanowieniem realizującym możliwie najbardziej zbliżony cel gospodarczy odzwierciedlający pierwotn</w:t>
      </w:r>
      <w:r>
        <w:rPr>
          <w:rFonts w:cs="Arial"/>
          <w:lang w:eastAsia="pl-PL" w:bidi="pl-PL"/>
        </w:rPr>
        <w:t>ą</w:t>
      </w:r>
      <w:r>
        <w:rPr>
          <w:rFonts w:cs="Arial"/>
        </w:rPr>
        <w:t xml:space="preserve"> intencję Stron.</w:t>
      </w:r>
    </w:p>
    <w:p w14:paraId="0C75AA08" w14:textId="77777777" w:rsidR="003E66CE" w:rsidRDefault="00110A5E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br w:type="page"/>
      </w:r>
    </w:p>
    <w:p w14:paraId="1908A53D" w14:textId="77777777" w:rsidR="003E66CE" w:rsidRDefault="00110A5E">
      <w:pPr>
        <w:pStyle w:val="Akapitzlist"/>
        <w:numPr>
          <w:ilvl w:val="2"/>
          <w:numId w:val="6"/>
        </w:numPr>
        <w:shd w:val="clear" w:color="auto" w:fill="FFFFFF"/>
        <w:tabs>
          <w:tab w:val="clear" w:pos="2160"/>
        </w:tabs>
        <w:suppressAutoHyphens/>
        <w:ind w:left="426" w:hanging="459"/>
        <w:contextualSpacing w:val="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lastRenderedPageBreak/>
        <w:t>W sprawach nieuregulowanych w Umow</w:t>
      </w:r>
      <w:r>
        <w:rPr>
          <w:rFonts w:eastAsia="Calibri" w:cs="Arial"/>
          <w:szCs w:val="24"/>
          <w:lang w:eastAsia="pl-PL" w:bidi="pl-PL"/>
        </w:rPr>
        <w:t>ie</w:t>
      </w:r>
      <w:r>
        <w:rPr>
          <w:rFonts w:eastAsia="Calibri" w:cs="Arial"/>
          <w:szCs w:val="24"/>
        </w:rPr>
        <w:t xml:space="preserve"> mają zastosowanie przepisy:</w:t>
      </w:r>
    </w:p>
    <w:p w14:paraId="7BB7CEB4" w14:textId="77777777" w:rsidR="003E66CE" w:rsidRDefault="00110A5E">
      <w:pPr>
        <w:pStyle w:val="Akapitzlist"/>
        <w:numPr>
          <w:ilvl w:val="0"/>
          <w:numId w:val="14"/>
        </w:numPr>
        <w:shd w:val="clear" w:color="auto" w:fill="FFFFFF"/>
        <w:suppressAutoHyphens/>
        <w:ind w:left="993" w:hanging="426"/>
        <w:contextualSpacing w:val="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ustawy z dnia 20 marca 2025 r. o rynku pracy i służbach zatrudnienia;</w:t>
      </w:r>
    </w:p>
    <w:p w14:paraId="5581BC69" w14:textId="77777777" w:rsidR="003E66CE" w:rsidRDefault="00110A5E">
      <w:pPr>
        <w:pStyle w:val="Akapitzlist"/>
        <w:numPr>
          <w:ilvl w:val="0"/>
          <w:numId w:val="14"/>
        </w:numPr>
        <w:shd w:val="clear" w:color="auto" w:fill="FFFFFF"/>
        <w:suppressAutoHyphens/>
        <w:ind w:left="993" w:hanging="426"/>
        <w:contextualSpacing w:val="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ustawy z dnia 23 kwietnia 1964 r. Kodeks cywilny;</w:t>
      </w:r>
    </w:p>
    <w:p w14:paraId="6D25ED12" w14:textId="77777777" w:rsidR="003E66CE" w:rsidRDefault="00110A5E">
      <w:pPr>
        <w:pStyle w:val="Akapitzlist"/>
        <w:numPr>
          <w:ilvl w:val="0"/>
          <w:numId w:val="14"/>
        </w:numPr>
        <w:shd w:val="clear" w:color="auto" w:fill="FFFFFF"/>
        <w:suppressAutoHyphens/>
        <w:ind w:left="993" w:hanging="426"/>
        <w:contextualSpacing w:val="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ustawy z dnia 27 sierpnia 2009 r. o finansach publicznych</w:t>
      </w:r>
      <w:r>
        <w:rPr>
          <w:rFonts w:eastAsia="Calibri" w:cs="Arial"/>
          <w:szCs w:val="24"/>
          <w:lang w:eastAsia="pl-PL" w:bidi="pl-PL"/>
        </w:rPr>
        <w:t>;</w:t>
      </w:r>
    </w:p>
    <w:p w14:paraId="6304BF14" w14:textId="77777777" w:rsidR="003E66CE" w:rsidRDefault="00110A5E">
      <w:pPr>
        <w:pStyle w:val="Akapitzlist"/>
        <w:numPr>
          <w:ilvl w:val="0"/>
          <w:numId w:val="14"/>
        </w:numPr>
        <w:shd w:val="clear" w:color="auto" w:fill="FFFFFF"/>
        <w:suppressAutoHyphens/>
        <w:ind w:left="993" w:hanging="426"/>
        <w:contextualSpacing w:val="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ustawy z dnia 14 czerwca 1960 r. – Kodeks postępowania administracyjnego.</w:t>
      </w:r>
    </w:p>
    <w:p w14:paraId="48233FB3" w14:textId="77777777" w:rsidR="003E66CE" w:rsidRDefault="00110A5E">
      <w:pPr>
        <w:pStyle w:val="Akapitzlist"/>
        <w:numPr>
          <w:ilvl w:val="2"/>
          <w:numId w:val="6"/>
        </w:numPr>
        <w:shd w:val="clear" w:color="auto" w:fill="FFFFFF"/>
        <w:tabs>
          <w:tab w:val="clear" w:pos="2160"/>
        </w:tabs>
        <w:suppressAutoHyphens/>
        <w:ind w:left="426" w:hanging="426"/>
        <w:contextualSpacing w:val="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Umowa sporządzona została w dwóch jednobrzmiących egzemplarzach, po jednym dla każdej ze Stron.</w:t>
      </w:r>
    </w:p>
    <w:p w14:paraId="0B4FA347" w14:textId="77777777" w:rsidR="003E66CE" w:rsidRDefault="00110A5E">
      <w:pPr>
        <w:tabs>
          <w:tab w:val="right" w:leader="dot" w:pos="4536"/>
          <w:tab w:val="right" w:pos="4962"/>
          <w:tab w:val="right" w:leader="dot" w:pos="9072"/>
        </w:tabs>
        <w:spacing w:before="1200" w:after="0" w:line="240" w:lineRule="auto"/>
        <w:ind w:left="284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093787D4" w14:textId="77777777" w:rsidR="003E66CE" w:rsidRDefault="00110A5E">
      <w:pPr>
        <w:spacing w:after="600" w:line="240" w:lineRule="auto"/>
        <w:ind w:left="4962" w:hanging="4678"/>
        <w:rPr>
          <w:rFonts w:cs="Arial"/>
          <w:szCs w:val="24"/>
        </w:rPr>
      </w:pPr>
      <w:r>
        <w:rPr>
          <w:rFonts w:cs="Arial"/>
          <w:szCs w:val="24"/>
        </w:rPr>
        <w:t xml:space="preserve">Wnioskodawca </w:t>
      </w:r>
      <w:r>
        <w:rPr>
          <w:rFonts w:cs="Arial"/>
          <w:szCs w:val="24"/>
        </w:rPr>
        <w:tab/>
        <w:t>Urząd</w:t>
      </w:r>
    </w:p>
    <w:p w14:paraId="326289DD" w14:textId="77777777" w:rsidR="003E66CE" w:rsidRDefault="00110A5E">
      <w:pPr>
        <w:tabs>
          <w:tab w:val="left" w:pos="284"/>
          <w:tab w:val="left" w:leader="dot" w:pos="4536"/>
        </w:tabs>
        <w:spacing w:after="600" w:line="240" w:lineRule="auto"/>
        <w:ind w:left="284"/>
        <w:rPr>
          <w:rFonts w:cs="Arial"/>
          <w:szCs w:val="24"/>
        </w:rPr>
      </w:pPr>
      <w:r>
        <w:rPr>
          <w:rFonts w:cs="Arial"/>
          <w:szCs w:val="24"/>
        </w:rPr>
        <w:t xml:space="preserve">Umowę sporządziła: </w:t>
      </w:r>
      <w:r>
        <w:rPr>
          <w:rFonts w:cs="Arial"/>
          <w:szCs w:val="24"/>
        </w:rPr>
        <w:tab/>
      </w:r>
    </w:p>
    <w:sectPr w:rsidR="003E66CE">
      <w:pgSz w:w="11906" w:h="16838"/>
      <w:pgMar w:top="924" w:right="1417" w:bottom="567" w:left="141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0CAE" w14:textId="77777777" w:rsidR="003E66CE" w:rsidRDefault="00110A5E">
      <w:pPr>
        <w:spacing w:after="0" w:line="240" w:lineRule="auto"/>
      </w:pPr>
      <w:r>
        <w:separator/>
      </w:r>
    </w:p>
  </w:endnote>
  <w:endnote w:type="continuationSeparator" w:id="0">
    <w:p w14:paraId="4C98137B" w14:textId="77777777" w:rsidR="003E66CE" w:rsidRDefault="0011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F982" w14:textId="77777777" w:rsidR="003E66CE" w:rsidRDefault="00110A5E">
      <w:pPr>
        <w:spacing w:after="0" w:line="240" w:lineRule="auto"/>
      </w:pPr>
      <w:r>
        <w:separator/>
      </w:r>
    </w:p>
  </w:footnote>
  <w:footnote w:type="continuationSeparator" w:id="0">
    <w:p w14:paraId="17D0DCEF" w14:textId="77777777" w:rsidR="003E66CE" w:rsidRDefault="00110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99"/>
    <w:multiLevelType w:val="hybridMultilevel"/>
    <w:tmpl w:val="12663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0820"/>
    <w:multiLevelType w:val="hybridMultilevel"/>
    <w:tmpl w:val="643CB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2A2"/>
    <w:multiLevelType w:val="hybridMultilevel"/>
    <w:tmpl w:val="6BAAC0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B6C6E"/>
    <w:multiLevelType w:val="hybridMultilevel"/>
    <w:tmpl w:val="4B989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C09B4"/>
    <w:multiLevelType w:val="multilevel"/>
    <w:tmpl w:val="3DAA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E5109B"/>
    <w:multiLevelType w:val="hybridMultilevel"/>
    <w:tmpl w:val="FBAA5366"/>
    <w:lvl w:ilvl="0" w:tplc="30E8BA9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B4E0B"/>
    <w:multiLevelType w:val="hybridMultilevel"/>
    <w:tmpl w:val="09DA58A6"/>
    <w:lvl w:ilvl="0" w:tplc="9AD09A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71A39"/>
    <w:multiLevelType w:val="hybridMultilevel"/>
    <w:tmpl w:val="238C0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3256C"/>
    <w:multiLevelType w:val="hybridMultilevel"/>
    <w:tmpl w:val="BD56FFB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EDA2583"/>
    <w:multiLevelType w:val="hybridMultilevel"/>
    <w:tmpl w:val="A8FC6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820A1"/>
    <w:multiLevelType w:val="hybridMultilevel"/>
    <w:tmpl w:val="95F44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879D2"/>
    <w:multiLevelType w:val="hybridMultilevel"/>
    <w:tmpl w:val="1D742CBC"/>
    <w:lvl w:ilvl="0" w:tplc="94C279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F58B6"/>
    <w:multiLevelType w:val="multilevel"/>
    <w:tmpl w:val="F6B29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AB6C15"/>
    <w:multiLevelType w:val="hybridMultilevel"/>
    <w:tmpl w:val="99BE99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0A7BF1"/>
    <w:multiLevelType w:val="multilevel"/>
    <w:tmpl w:val="0DB64E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06C3B94"/>
    <w:multiLevelType w:val="hybridMultilevel"/>
    <w:tmpl w:val="9F9A7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753A8"/>
    <w:multiLevelType w:val="hybridMultilevel"/>
    <w:tmpl w:val="188CF56E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>
      <w:start w:val="1"/>
      <w:numFmt w:val="lowerRoman"/>
      <w:lvlText w:val="%3."/>
      <w:lvlJc w:val="right"/>
      <w:pPr>
        <w:ind w:left="2224" w:hanging="180"/>
      </w:pPr>
    </w:lvl>
    <w:lvl w:ilvl="3" w:tplc="0415000F">
      <w:start w:val="1"/>
      <w:numFmt w:val="decimal"/>
      <w:lvlText w:val="%4."/>
      <w:lvlJc w:val="left"/>
      <w:pPr>
        <w:ind w:left="2944" w:hanging="360"/>
      </w:pPr>
    </w:lvl>
    <w:lvl w:ilvl="4" w:tplc="04150019">
      <w:start w:val="1"/>
      <w:numFmt w:val="lowerLetter"/>
      <w:lvlText w:val="%5."/>
      <w:lvlJc w:val="left"/>
      <w:pPr>
        <w:ind w:left="3664" w:hanging="360"/>
      </w:pPr>
    </w:lvl>
    <w:lvl w:ilvl="5" w:tplc="0415001B">
      <w:start w:val="1"/>
      <w:numFmt w:val="lowerRoman"/>
      <w:lvlText w:val="%6."/>
      <w:lvlJc w:val="right"/>
      <w:pPr>
        <w:ind w:left="4384" w:hanging="180"/>
      </w:pPr>
    </w:lvl>
    <w:lvl w:ilvl="6" w:tplc="0415000F">
      <w:start w:val="1"/>
      <w:numFmt w:val="decimal"/>
      <w:lvlText w:val="%7."/>
      <w:lvlJc w:val="left"/>
      <w:pPr>
        <w:ind w:left="5104" w:hanging="360"/>
      </w:pPr>
    </w:lvl>
    <w:lvl w:ilvl="7" w:tplc="04150019">
      <w:start w:val="1"/>
      <w:numFmt w:val="lowerLetter"/>
      <w:lvlText w:val="%8."/>
      <w:lvlJc w:val="left"/>
      <w:pPr>
        <w:ind w:left="5824" w:hanging="360"/>
      </w:pPr>
    </w:lvl>
    <w:lvl w:ilvl="8" w:tplc="0415001B">
      <w:start w:val="1"/>
      <w:numFmt w:val="lowerRoman"/>
      <w:lvlText w:val="%9."/>
      <w:lvlJc w:val="right"/>
      <w:pPr>
        <w:ind w:left="6544" w:hanging="180"/>
      </w:pPr>
    </w:lvl>
  </w:abstractNum>
  <w:abstractNum w:abstractNumId="17" w15:restartNumberingAfterBreak="0">
    <w:nsid w:val="42613DFC"/>
    <w:multiLevelType w:val="hybridMultilevel"/>
    <w:tmpl w:val="76482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34E4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7E3046E"/>
    <w:multiLevelType w:val="hybridMultilevel"/>
    <w:tmpl w:val="BC9A0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F10D6"/>
    <w:multiLevelType w:val="multilevel"/>
    <w:tmpl w:val="0F34B0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EF425D0"/>
    <w:multiLevelType w:val="multilevel"/>
    <w:tmpl w:val="AB0C82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F5E7594"/>
    <w:multiLevelType w:val="hybridMultilevel"/>
    <w:tmpl w:val="3B08FC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5572A"/>
    <w:multiLevelType w:val="hybridMultilevel"/>
    <w:tmpl w:val="6CAA15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F33D7F"/>
    <w:multiLevelType w:val="hybridMultilevel"/>
    <w:tmpl w:val="0ADC0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11F8C"/>
    <w:multiLevelType w:val="hybridMultilevel"/>
    <w:tmpl w:val="6854D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D1767"/>
    <w:multiLevelType w:val="multilevel"/>
    <w:tmpl w:val="8C6ECF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C3965CC"/>
    <w:multiLevelType w:val="multilevel"/>
    <w:tmpl w:val="E82A19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DF85745"/>
    <w:multiLevelType w:val="multilevel"/>
    <w:tmpl w:val="8C843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70465880">
    <w:abstractNumId w:val="20"/>
  </w:num>
  <w:num w:numId="2" w16cid:durableId="419717793">
    <w:abstractNumId w:val="0"/>
  </w:num>
  <w:num w:numId="3" w16cid:durableId="305745739">
    <w:abstractNumId w:val="17"/>
  </w:num>
  <w:num w:numId="4" w16cid:durableId="671495630">
    <w:abstractNumId w:val="25"/>
  </w:num>
  <w:num w:numId="5" w16cid:durableId="1890994090">
    <w:abstractNumId w:val="27"/>
  </w:num>
  <w:num w:numId="6" w16cid:durableId="642388498">
    <w:abstractNumId w:val="27"/>
  </w:num>
  <w:num w:numId="7" w16cid:durableId="1213466198">
    <w:abstractNumId w:val="18"/>
  </w:num>
  <w:num w:numId="8" w16cid:durableId="10493778">
    <w:abstractNumId w:val="7"/>
  </w:num>
  <w:num w:numId="9" w16cid:durableId="370493589">
    <w:abstractNumId w:val="13"/>
  </w:num>
  <w:num w:numId="10" w16cid:durableId="281498397">
    <w:abstractNumId w:val="11"/>
  </w:num>
  <w:num w:numId="11" w16cid:durableId="1411806749">
    <w:abstractNumId w:val="19"/>
  </w:num>
  <w:num w:numId="12" w16cid:durableId="911934383">
    <w:abstractNumId w:val="16"/>
  </w:num>
  <w:num w:numId="13" w16cid:durableId="1579512309">
    <w:abstractNumId w:val="3"/>
  </w:num>
  <w:num w:numId="14" w16cid:durableId="1964652106">
    <w:abstractNumId w:val="1"/>
  </w:num>
  <w:num w:numId="15" w16cid:durableId="1296637319">
    <w:abstractNumId w:val="15"/>
  </w:num>
  <w:num w:numId="16" w16cid:durableId="320543857">
    <w:abstractNumId w:val="5"/>
  </w:num>
  <w:num w:numId="17" w16cid:durableId="351152143">
    <w:abstractNumId w:val="23"/>
  </w:num>
  <w:num w:numId="18" w16cid:durableId="453792221">
    <w:abstractNumId w:val="24"/>
  </w:num>
  <w:num w:numId="19" w16cid:durableId="1963876937">
    <w:abstractNumId w:val="6"/>
  </w:num>
  <w:num w:numId="20" w16cid:durableId="1617640891">
    <w:abstractNumId w:val="10"/>
  </w:num>
  <w:num w:numId="21" w16cid:durableId="531043207">
    <w:abstractNumId w:val="9"/>
  </w:num>
  <w:num w:numId="22" w16cid:durableId="308094490">
    <w:abstractNumId w:val="22"/>
  </w:num>
  <w:num w:numId="23" w16cid:durableId="826088944">
    <w:abstractNumId w:val="28"/>
  </w:num>
  <w:num w:numId="24" w16cid:durableId="1682775135">
    <w:abstractNumId w:val="21"/>
  </w:num>
  <w:num w:numId="25" w16cid:durableId="1039278081">
    <w:abstractNumId w:val="14"/>
  </w:num>
  <w:num w:numId="26" w16cid:durableId="455299938">
    <w:abstractNumId w:val="4"/>
  </w:num>
  <w:num w:numId="27" w16cid:durableId="1718163760">
    <w:abstractNumId w:val="8"/>
  </w:num>
  <w:num w:numId="28" w16cid:durableId="1473252740">
    <w:abstractNumId w:val="12"/>
  </w:num>
  <w:num w:numId="29" w16cid:durableId="4133559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0" w16cid:durableId="1967471260">
    <w:abstractNumId w:val="26"/>
  </w:num>
  <w:num w:numId="31" w16cid:durableId="5879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CE"/>
    <w:rsid w:val="00110A5E"/>
    <w:rsid w:val="00165C01"/>
    <w:rsid w:val="003E66CE"/>
    <w:rsid w:val="00A410E4"/>
    <w:rsid w:val="00C7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CAD6"/>
  <w15:docId w15:val="{20252D1C-0140-4AB6-8385-005B8991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pPr>
      <w:spacing w:before="120" w:after="120" w:line="360" w:lineRule="auto"/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link w:val="TekstprzypisudolnegoZnak"/>
    <w:semiHidden/>
    <w:pPr>
      <w:spacing w:after="0" w:line="240" w:lineRule="auto"/>
    </w:pPr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semiHidden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qFormat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omylnaczcionkaakapitu"/>
    <w:qFormat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qFormat/>
    <w:rPr>
      <w:rFonts w:ascii="Arial" w:hAnsi="Arial"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sz w:val="20"/>
      <w:szCs w:val="20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0486A-C0EF-4AC0-8B1D-F9803A520B45}">
  <ds:schemaRefs>
    <ds:schemaRef ds:uri="http://schemas.microsoft.com/vsto/samples"/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6864</Characters>
  <Application>Microsoft Office Word</Application>
  <DocSecurity>0</DocSecurity>
  <Lines>57</Lines>
  <Paragraphs>15</Paragraphs>
  <ScaleCrop>false</ScaleCrop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Chwesiuk</dc:creator>
  <cp:lastModifiedBy>Agata Opalewska</cp:lastModifiedBy>
  <cp:revision>2</cp:revision>
  <dcterms:created xsi:type="dcterms:W3CDTF">2025-09-23T11:14:00Z</dcterms:created>
  <dcterms:modified xsi:type="dcterms:W3CDTF">2025-09-23T11:14:00Z</dcterms:modified>
</cp:coreProperties>
</file>